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35"/>
        <w:tblGridChange w:id="0">
          <w:tblGrid>
            <w:gridCol w:w="9335"/>
          </w:tblGrid>
        </w:tblGridChange>
      </w:tblGrid>
      <w:tr>
        <w:trPr>
          <w:cantSplit w:val="0"/>
          <w:trHeight w:val="878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2">
            <w:pPr>
              <w:rPr/>
            </w:pPr>
            <w:r w:rsidDel="00000000" w:rsidR="00000000" w:rsidRPr="00000000">
              <w:rPr>
                <w:rtl w:val="0"/>
              </w:rPr>
            </w:r>
          </w:p>
          <w:tbl>
            <w:tblPr>
              <w:tblStyle w:val="Table2"/>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35"/>
              <w:tblGridChange w:id="0">
                <w:tblGrid>
                  <w:gridCol w:w="9135"/>
                </w:tblGrid>
              </w:tblGridChange>
            </w:tblGrid>
            <w:tr>
              <w:trPr>
                <w:cantSplit w:val="0"/>
                <w:trHeight w:val="8280" w:hRule="atLeast"/>
                <w:tblHeader w:val="0"/>
              </w:trPr>
              <w:tc>
                <w:tcPr>
                  <w:tcBorders>
                    <w:top w:color="000000" w:space="0" w:sz="0" w:val="nil"/>
                    <w:left w:color="000000" w:space="0" w:sz="0" w:val="nil"/>
                    <w:bottom w:color="000000" w:space="0" w:sz="0" w:val="nil"/>
                    <w:right w:color="000000" w:space="0" w:sz="0" w:val="nil"/>
                  </w:tcBorders>
                  <w:shd w:fill="auto" w:val="clear"/>
                  <w:tcMar>
                    <w:top w:w="160.0" w:type="dxa"/>
                    <w:left w:w="300.0" w:type="dxa"/>
                    <w:bottom w:w="160.0" w:type="dxa"/>
                    <w:right w:w="300.0" w:type="dxa"/>
                  </w:tcMar>
                  <w:vAlign w:val="top"/>
                </w:tcPr>
                <w:p w:rsidR="00000000" w:rsidDel="00000000" w:rsidP="00000000" w:rsidRDefault="00000000" w:rsidRPr="00000000" w14:paraId="00000003">
                  <w:pPr>
                    <w:spacing w:line="288" w:lineRule="auto"/>
                    <w:rPr>
                      <w:rFonts w:ascii="Georgia" w:cs="Georgia" w:eastAsia="Georgia" w:hAnsi="Georgia"/>
                      <w:i w:val="1"/>
                      <w:color w:val="212121"/>
                      <w:sz w:val="21"/>
                      <w:szCs w:val="21"/>
                    </w:rPr>
                  </w:pPr>
                  <w:r w:rsidDel="00000000" w:rsidR="00000000" w:rsidRPr="00000000">
                    <w:rPr>
                      <w:rFonts w:ascii="Georgia" w:cs="Georgia" w:eastAsia="Georgia" w:hAnsi="Georgia"/>
                      <w:i w:val="1"/>
                      <w:color w:val="212121"/>
                      <w:sz w:val="21"/>
                      <w:szCs w:val="21"/>
                      <w:rtl w:val="0"/>
                    </w:rPr>
                    <w:t xml:space="preserve">En français ci-dessous</w:t>
                  </w:r>
                </w:p>
                <w:p w:rsidR="00000000" w:rsidDel="00000000" w:rsidP="00000000" w:rsidRDefault="00000000" w:rsidRPr="00000000" w14:paraId="00000004">
                  <w:pPr>
                    <w:spacing w:line="288" w:lineRule="auto"/>
                    <w:rPr>
                      <w:rFonts w:ascii="Georgia" w:cs="Georgia" w:eastAsia="Georgia" w:hAnsi="Georgia"/>
                      <w:i w:val="1"/>
                      <w:color w:val="212121"/>
                      <w:sz w:val="21"/>
                      <w:szCs w:val="21"/>
                    </w:rPr>
                  </w:pPr>
                  <w:r w:rsidDel="00000000" w:rsidR="00000000" w:rsidRPr="00000000">
                    <w:rPr>
                      <w:rtl w:val="0"/>
                    </w:rPr>
                  </w:r>
                </w:p>
                <w:p w:rsidR="00000000" w:rsidDel="00000000" w:rsidP="00000000" w:rsidRDefault="00000000" w:rsidRPr="00000000" w14:paraId="00000005">
                  <w:pPr>
                    <w:spacing w:line="288" w:lineRule="auto"/>
                    <w:rPr>
                      <w:rFonts w:ascii="Georgia" w:cs="Georgia" w:eastAsia="Georgia" w:hAnsi="Georgia"/>
                      <w:b w:val="1"/>
                      <w:color w:val="212121"/>
                      <w:sz w:val="25"/>
                      <w:szCs w:val="25"/>
                    </w:rPr>
                  </w:pPr>
                  <w:r w:rsidDel="00000000" w:rsidR="00000000" w:rsidRPr="00000000">
                    <w:rPr>
                      <w:rFonts w:ascii="Georgia" w:cs="Georgia" w:eastAsia="Georgia" w:hAnsi="Georgia"/>
                      <w:b w:val="1"/>
                      <w:color w:val="212121"/>
                      <w:sz w:val="25"/>
                      <w:szCs w:val="25"/>
                      <w:rtl w:val="0"/>
                    </w:rPr>
                    <w:t xml:space="preserve">School Health and Nutrition Microlearnings Toolkit</w:t>
                  </w:r>
                </w:p>
                <w:p w:rsidR="00000000" w:rsidDel="00000000" w:rsidP="00000000" w:rsidRDefault="00000000" w:rsidRPr="00000000" w14:paraId="00000006">
                  <w:pPr>
                    <w:spacing w:line="288" w:lineRule="auto"/>
                    <w:rPr>
                      <w:rFonts w:ascii="Georgia" w:cs="Georgia" w:eastAsia="Georgia" w:hAnsi="Georgia"/>
                      <w:i w:val="1"/>
                      <w:color w:val="212121"/>
                      <w:sz w:val="21"/>
                      <w:szCs w:val="21"/>
                    </w:rPr>
                  </w:pPr>
                  <w:r w:rsidDel="00000000" w:rsidR="00000000" w:rsidRPr="00000000">
                    <w:rPr>
                      <w:rtl w:val="0"/>
                    </w:rPr>
                  </w:r>
                </w:p>
                <w:p w:rsidR="00000000" w:rsidDel="00000000" w:rsidP="00000000" w:rsidRDefault="00000000" w:rsidRPr="00000000" w14:paraId="00000007">
                  <w:pPr>
                    <w:spacing w:line="288" w:lineRule="auto"/>
                    <w:rPr>
                      <w:rFonts w:ascii="Georgia" w:cs="Georgia" w:eastAsia="Georgia" w:hAnsi="Georgia"/>
                      <w:color w:val="212121"/>
                      <w:sz w:val="24"/>
                      <w:szCs w:val="24"/>
                    </w:rPr>
                  </w:pPr>
                  <w:r w:rsidDel="00000000" w:rsidR="00000000" w:rsidRPr="00000000">
                    <w:rPr>
                      <w:rFonts w:ascii="Georgia" w:cs="Georgia" w:eastAsia="Georgia" w:hAnsi="Georgia"/>
                      <w:color w:val="212121"/>
                      <w:sz w:val="24"/>
                      <w:szCs w:val="24"/>
                      <w:rtl w:val="0"/>
                    </w:rPr>
                    <w:t xml:space="preserve">Dear Child Health Task Force Members, </w:t>
                  </w:r>
                </w:p>
                <w:p w:rsidR="00000000" w:rsidDel="00000000" w:rsidP="00000000" w:rsidRDefault="00000000" w:rsidRPr="00000000" w14:paraId="00000008">
                  <w:pPr>
                    <w:spacing w:line="288"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The Child Health Task Force is pleased to announce the launch of the self-paced School Health and Nutrition: From Principles to Practice e-learning course. </w:t>
                  </w:r>
                </w:p>
                <w:p w:rsidR="00000000" w:rsidDel="00000000" w:rsidP="00000000" w:rsidRDefault="00000000" w:rsidRPr="00000000" w14:paraId="00000009">
                  <w:pPr>
                    <w:spacing w:line="288" w:lineRule="auto"/>
                    <w:rPr>
                      <w:rFonts w:ascii="Georgia" w:cs="Georgia" w:eastAsia="Georgia" w:hAnsi="Georgia"/>
                      <w:color w:val="222222"/>
                      <w:sz w:val="24"/>
                      <w:szCs w:val="24"/>
                    </w:rPr>
                  </w:pPr>
                  <w:r w:rsidDel="00000000" w:rsidR="00000000" w:rsidRPr="00000000">
                    <w:rPr>
                      <w:rFonts w:ascii="Georgia" w:cs="Georgia" w:eastAsia="Georgia" w:hAnsi="Georgia"/>
                      <w:color w:val="222222"/>
                      <w:sz w:val="24"/>
                      <w:szCs w:val="24"/>
                      <w:rtl w:val="0"/>
                    </w:rPr>
                    <w:t xml:space="preserve">School health programs are a win-win for educators, health professionals, and the school-age children and adolescents who they serve. For this reason, the Task Force created an open access e-learning course to provide practitioners with the foundational knowledge to support the design, delivery, and monitoring of school-based health and nutrition interventions. The learning experience is divided into three modules, designed to progress from theory to action, covering:</w:t>
                  </w:r>
                </w:p>
                <w:p w:rsidR="00000000" w:rsidDel="00000000" w:rsidP="00000000" w:rsidRDefault="00000000" w:rsidRPr="00000000" w14:paraId="0000000A">
                  <w:pPr>
                    <w:numPr>
                      <w:ilvl w:val="0"/>
                      <w:numId w:val="2"/>
                    </w:numPr>
                    <w:spacing w:after="0" w:afterAutospacing="0" w:before="220" w:line="288" w:lineRule="auto"/>
                    <w:ind w:left="720" w:hanging="360"/>
                    <w:rPr>
                      <w:color w:val="222222"/>
                      <w:sz w:val="24"/>
                      <w:szCs w:val="24"/>
                    </w:rPr>
                  </w:pPr>
                  <w:r w:rsidDel="00000000" w:rsidR="00000000" w:rsidRPr="00000000">
                    <w:rPr>
                      <w:rFonts w:ascii="Georgia" w:cs="Georgia" w:eastAsia="Georgia" w:hAnsi="Georgia"/>
                      <w:color w:val="222222"/>
                      <w:sz w:val="24"/>
                      <w:szCs w:val="24"/>
                      <w:rtl w:val="0"/>
                    </w:rPr>
                    <w:t xml:space="preserve">MODULE 1 - The Diverse Landscape of School Health and Nutrition</w:t>
                  </w:r>
                </w:p>
                <w:p w:rsidR="00000000" w:rsidDel="00000000" w:rsidP="00000000" w:rsidRDefault="00000000" w:rsidRPr="00000000" w14:paraId="0000000B">
                  <w:pPr>
                    <w:numPr>
                      <w:ilvl w:val="0"/>
                      <w:numId w:val="2"/>
                    </w:numPr>
                    <w:spacing w:after="0" w:afterAutospacing="0" w:before="0" w:beforeAutospacing="0" w:line="288" w:lineRule="auto"/>
                    <w:ind w:left="720" w:hanging="360"/>
                    <w:rPr>
                      <w:color w:val="222222"/>
                      <w:sz w:val="24"/>
                      <w:szCs w:val="24"/>
                    </w:rPr>
                  </w:pPr>
                  <w:r w:rsidDel="00000000" w:rsidR="00000000" w:rsidRPr="00000000">
                    <w:rPr>
                      <w:rFonts w:ascii="Georgia" w:cs="Georgia" w:eastAsia="Georgia" w:hAnsi="Georgia"/>
                      <w:color w:val="222222"/>
                      <w:sz w:val="24"/>
                      <w:szCs w:val="24"/>
                      <w:rtl w:val="0"/>
                    </w:rPr>
                    <w:t xml:space="preserve">MODULE 2 - Multi-Sector Coordination at the Heart of School Health and Nutrition</w:t>
                  </w:r>
                </w:p>
                <w:p w:rsidR="00000000" w:rsidDel="00000000" w:rsidP="00000000" w:rsidRDefault="00000000" w:rsidRPr="00000000" w14:paraId="0000000C">
                  <w:pPr>
                    <w:numPr>
                      <w:ilvl w:val="0"/>
                      <w:numId w:val="2"/>
                    </w:numPr>
                    <w:spacing w:after="220" w:before="0" w:beforeAutospacing="0" w:line="288" w:lineRule="auto"/>
                    <w:ind w:left="720" w:hanging="360"/>
                    <w:rPr>
                      <w:color w:val="222222"/>
                      <w:sz w:val="24"/>
                      <w:szCs w:val="24"/>
                    </w:rPr>
                  </w:pPr>
                  <w:r w:rsidDel="00000000" w:rsidR="00000000" w:rsidRPr="00000000">
                    <w:rPr>
                      <w:rFonts w:ascii="Georgia" w:cs="Georgia" w:eastAsia="Georgia" w:hAnsi="Georgia"/>
                      <w:color w:val="222222"/>
                      <w:sz w:val="24"/>
                      <w:szCs w:val="24"/>
                      <w:rtl w:val="0"/>
                    </w:rPr>
                    <w:t xml:space="preserve">MODULE 3 - Tools to Guide the Design of School Health and Nutrition Programs</w:t>
                  </w:r>
                </w:p>
                <w:p w:rsidR="00000000" w:rsidDel="00000000" w:rsidP="00000000" w:rsidRDefault="00000000" w:rsidRPr="00000000" w14:paraId="0000000D">
                  <w:pPr>
                    <w:spacing w:line="288"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Take the course today and commemorate your learning journey with a Certificate of Completion! The Task Force is pleased to confirm that this e-learning course will also be available in French in the coming weeks.</w:t>
                  </w:r>
                </w:p>
                <w:p w:rsidR="00000000" w:rsidDel="00000000" w:rsidP="00000000" w:rsidRDefault="00000000" w:rsidRPr="00000000" w14:paraId="0000000E">
                  <w:pPr>
                    <w:spacing w:line="288" w:lineRule="auto"/>
                    <w:rPr>
                      <w:rFonts w:ascii="Georgia" w:cs="Georgia" w:eastAsia="Georgia" w:hAnsi="Georgia"/>
                      <w:b w:val="1"/>
                      <w:color w:val="27b0e6"/>
                      <w:sz w:val="24"/>
                      <w:szCs w:val="24"/>
                    </w:rPr>
                  </w:pPr>
                  <w:r w:rsidDel="00000000" w:rsidR="00000000" w:rsidRPr="00000000">
                    <w:rPr>
                      <w:rFonts w:ascii="Georgia" w:cs="Georgia" w:eastAsia="Georgia" w:hAnsi="Georgia"/>
                      <w:color w:val="333333"/>
                      <w:sz w:val="24"/>
                      <w:szCs w:val="24"/>
                      <w:rtl w:val="0"/>
                    </w:rPr>
                    <w:t xml:space="preserve">To take this course, and to explore the supplementary infographics, animated videos, and operational reports on this topic, visit the Task Force’s </w:t>
                  </w:r>
                  <w:hyperlink r:id="rId6">
                    <w:r w:rsidDel="00000000" w:rsidR="00000000" w:rsidRPr="00000000">
                      <w:rPr>
                        <w:rFonts w:ascii="Georgia" w:cs="Georgia" w:eastAsia="Georgia" w:hAnsi="Georgia"/>
                        <w:b w:val="1"/>
                        <w:color w:val="1155cc"/>
                        <w:sz w:val="24"/>
                        <w:szCs w:val="24"/>
                        <w:u w:val="single"/>
                        <w:rtl w:val="0"/>
                      </w:rPr>
                      <w:t xml:space="preserve">School Health and Nutrition Microlearnings Toolkit</w:t>
                    </w:r>
                  </w:hyperlink>
                  <w:r w:rsidDel="00000000" w:rsidR="00000000" w:rsidRPr="00000000">
                    <w:rPr>
                      <w:rFonts w:ascii="Georgia" w:cs="Georgia" w:eastAsia="Georgia" w:hAnsi="Georgia"/>
                      <w:b w:val="1"/>
                      <w:color w:val="27b0e6"/>
                      <w:sz w:val="24"/>
                      <w:szCs w:val="24"/>
                      <w:rtl w:val="0"/>
                    </w:rPr>
                    <w:t xml:space="preserve">.</w:t>
                  </w:r>
                </w:p>
              </w:tc>
            </w:tr>
          </w:tbl>
          <w:p w:rsidR="00000000" w:rsidDel="00000000" w:rsidP="00000000" w:rsidRDefault="00000000" w:rsidRPr="00000000" w14:paraId="0000000F">
            <w:pPr>
              <w:rPr>
                <w:color w:val="212121"/>
                <w:sz w:val="24"/>
                <w:szCs w:val="24"/>
              </w:rPr>
            </w:pPr>
            <w:r w:rsidDel="00000000" w:rsidR="00000000" w:rsidRPr="00000000">
              <w:rPr>
                <w:color w:val="212121"/>
                <w:sz w:val="24"/>
                <w:szCs w:val="24"/>
              </w:rPr>
              <w:drawing>
                <wp:inline distB="114300" distT="114300" distL="114300" distR="114300">
                  <wp:extent cx="17830800" cy="70485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830800" cy="7048500"/>
                          </a:xfrm>
                          <a:prstGeom prst="rect"/>
                          <a:ln/>
                        </pic:spPr>
                      </pic:pic>
                    </a:graphicData>
                  </a:graphic>
                </wp:inline>
              </w:drawing>
            </w:r>
            <w:r w:rsidDel="00000000" w:rsidR="00000000" w:rsidRPr="00000000">
              <w:rPr>
                <w:rtl w:val="0"/>
              </w:rPr>
            </w:r>
          </w:p>
          <w:tbl>
            <w:tblPr>
              <w:tblStyle w:val="Table3"/>
              <w:tblW w:w="8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35"/>
              <w:tblGridChange w:id="0">
                <w:tblGrid>
                  <w:gridCol w:w="8935"/>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160.0" w:type="dxa"/>
                    <w:left w:w="300.0" w:type="dxa"/>
                    <w:bottom w:w="160.0" w:type="dxa"/>
                    <w:right w:w="300.0" w:type="dxa"/>
                  </w:tcMar>
                  <w:vAlign w:val="top"/>
                </w:tcPr>
                <w:p w:rsidR="00000000" w:rsidDel="00000000" w:rsidP="00000000" w:rsidRDefault="00000000" w:rsidRPr="00000000" w14:paraId="00000010">
                  <w:pPr>
                    <w:rPr>
                      <w:color w:val="212121"/>
                      <w:sz w:val="24"/>
                      <w:szCs w:val="24"/>
                    </w:rPr>
                  </w:pPr>
                  <w:r w:rsidDel="00000000" w:rsidR="00000000" w:rsidRPr="00000000">
                    <w:rPr>
                      <w:rtl w:val="0"/>
                    </w:rPr>
                  </w:r>
                </w:p>
              </w:tc>
            </w:tr>
          </w:tbl>
          <w:p w:rsidR="00000000" w:rsidDel="00000000" w:rsidP="00000000" w:rsidRDefault="00000000" w:rsidRPr="00000000" w14:paraId="00000011">
            <w:pPr>
              <w:rPr>
                <w:color w:val="212121"/>
                <w:sz w:val="24"/>
                <w:szCs w:val="24"/>
              </w:rPr>
            </w:pPr>
            <w:r w:rsidDel="00000000" w:rsidR="00000000" w:rsidRPr="00000000">
              <w:rPr>
                <w:rtl w:val="0"/>
              </w:rPr>
            </w:r>
          </w:p>
        </w:tc>
      </w:tr>
    </w:tbl>
    <w:p w:rsidR="00000000" w:rsidDel="00000000" w:rsidP="00000000" w:rsidRDefault="00000000" w:rsidRPr="00000000" w14:paraId="00000012">
      <w:pPr>
        <w:rPr>
          <w:color w:val="212121"/>
          <w:sz w:val="24"/>
          <w:szCs w:val="24"/>
        </w:rPr>
      </w:pPr>
      <w:r w:rsidDel="00000000" w:rsidR="00000000" w:rsidRPr="00000000">
        <w:rPr>
          <w:rtl w:val="0"/>
        </w:rPr>
      </w:r>
    </w:p>
    <w:tbl>
      <w:tblPr>
        <w:tblStyle w:val="Table4"/>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35"/>
        <w:tblGridChange w:id="0">
          <w:tblGrid>
            <w:gridCol w:w="9335"/>
          </w:tblGrid>
        </w:tblGridChange>
      </w:tblGrid>
      <w:tr>
        <w:trPr>
          <w:cantSplit w:val="0"/>
          <w:trHeight w:val="88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rPr>
                <w:b w:val="1"/>
                <w:color w:val="212121"/>
                <w:sz w:val="24"/>
                <w:szCs w:val="24"/>
              </w:rPr>
            </w:pPr>
            <w:r w:rsidDel="00000000" w:rsidR="00000000" w:rsidRPr="00000000">
              <w:rPr>
                <w:b w:val="1"/>
                <w:color w:val="212121"/>
                <w:sz w:val="24"/>
                <w:szCs w:val="24"/>
                <w:rtl w:val="0"/>
              </w:rPr>
              <w:t xml:space="preserve">La boîte à outils de microapprentissages sur la santé et la nutrition scolaires</w:t>
            </w:r>
          </w:p>
          <w:tbl>
            <w:tblPr>
              <w:tblStyle w:val="Table5"/>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35"/>
              <w:tblGridChange w:id="0">
                <w:tblGrid>
                  <w:gridCol w:w="9135"/>
                </w:tblGrid>
              </w:tblGridChange>
            </w:tblGrid>
            <w:tr>
              <w:trPr>
                <w:cantSplit w:val="0"/>
                <w:trHeight w:val="8640" w:hRule="atLeast"/>
                <w:tblHeader w:val="0"/>
              </w:trPr>
              <w:tc>
                <w:tcPr>
                  <w:tcBorders>
                    <w:top w:color="000000" w:space="0" w:sz="0" w:val="nil"/>
                    <w:left w:color="000000" w:space="0" w:sz="0" w:val="nil"/>
                    <w:bottom w:color="000000" w:space="0" w:sz="0" w:val="nil"/>
                    <w:right w:color="000000" w:space="0" w:sz="0" w:val="nil"/>
                  </w:tcBorders>
                  <w:shd w:fill="auto" w:val="clear"/>
                  <w:tcMar>
                    <w:top w:w="160.0" w:type="dxa"/>
                    <w:left w:w="300.0" w:type="dxa"/>
                    <w:bottom w:w="160.0" w:type="dxa"/>
                    <w:right w:w="300.0" w:type="dxa"/>
                  </w:tcMar>
                  <w:vAlign w:val="top"/>
                </w:tcPr>
                <w:p w:rsidR="00000000" w:rsidDel="00000000" w:rsidP="00000000" w:rsidRDefault="00000000" w:rsidRPr="00000000" w14:paraId="00000014">
                  <w:pPr>
                    <w:spacing w:line="288" w:lineRule="auto"/>
                    <w:rPr>
                      <w:rFonts w:ascii="Georgia" w:cs="Georgia" w:eastAsia="Georgia" w:hAnsi="Georgia"/>
                      <w:color w:val="212121"/>
                      <w:sz w:val="24"/>
                      <w:szCs w:val="24"/>
                    </w:rPr>
                  </w:pPr>
                  <w:r w:rsidDel="00000000" w:rsidR="00000000" w:rsidRPr="00000000">
                    <w:rPr>
                      <w:rFonts w:ascii="Georgia" w:cs="Georgia" w:eastAsia="Georgia" w:hAnsi="Georgia"/>
                      <w:color w:val="212121"/>
                      <w:sz w:val="24"/>
                      <w:szCs w:val="24"/>
                      <w:rtl w:val="0"/>
                    </w:rPr>
                    <w:t xml:space="preserve">Chers membres du Groupe de travail sur la santé de l'enfant,</w:t>
                  </w:r>
                </w:p>
                <w:p w:rsidR="00000000" w:rsidDel="00000000" w:rsidP="00000000" w:rsidRDefault="00000000" w:rsidRPr="00000000" w14:paraId="00000015">
                  <w:pPr>
                    <w:spacing w:line="288" w:lineRule="auto"/>
                    <w:rPr>
                      <w:rFonts w:ascii="Georgia" w:cs="Georgia" w:eastAsia="Georgia" w:hAnsi="Georgia"/>
                      <w:color w:val="212121"/>
                      <w:sz w:val="24"/>
                      <w:szCs w:val="24"/>
                    </w:rPr>
                  </w:pPr>
                  <w:r w:rsidDel="00000000" w:rsidR="00000000" w:rsidRPr="00000000">
                    <w:rPr>
                      <w:rFonts w:ascii="Georgia" w:cs="Georgia" w:eastAsia="Georgia" w:hAnsi="Georgia"/>
                      <w:color w:val="212121"/>
                      <w:sz w:val="24"/>
                      <w:szCs w:val="24"/>
                      <w:rtl w:val="0"/>
                    </w:rPr>
                    <w:t xml:space="preserve">Le Groupe de travail sur la santé de l'enfant est heureux d'annoncer le lancement du cours d'apprentissage en ligne sur la santé et la nutrition à l'école: des principes à la pratique.</w:t>
                  </w:r>
                </w:p>
                <w:p w:rsidR="00000000" w:rsidDel="00000000" w:rsidP="00000000" w:rsidRDefault="00000000" w:rsidRPr="00000000" w14:paraId="00000016">
                  <w:pPr>
                    <w:spacing w:line="288" w:lineRule="auto"/>
                    <w:rPr>
                      <w:rFonts w:ascii="Georgia" w:cs="Georgia" w:eastAsia="Georgia" w:hAnsi="Georgia"/>
                      <w:color w:val="212121"/>
                      <w:sz w:val="24"/>
                      <w:szCs w:val="24"/>
                    </w:rPr>
                  </w:pPr>
                  <w:r w:rsidDel="00000000" w:rsidR="00000000" w:rsidRPr="00000000">
                    <w:rPr>
                      <w:rFonts w:ascii="Georgia" w:cs="Georgia" w:eastAsia="Georgia" w:hAnsi="Georgia"/>
                      <w:color w:val="212121"/>
                      <w:sz w:val="24"/>
                      <w:szCs w:val="24"/>
                      <w:rtl w:val="0"/>
                    </w:rPr>
                    <w:t xml:space="preserve">Les programmes de santé scolaire sont gagnant-gagnant pour les éducateurs, les professionnels de la santé et les enfants et adolescents d’âge scolaire qu’ils servent. Pour cette raison, le groupe de travail a créé un cours d'apprentissage en ligne en libre accès pour fournir aux praticiens les connaissances de base nécessaires pour soutenir la conception, la mise en œuvre et le suivi des interventions de santé et de nutrition en milieu scolaire. L'expérience d'apprentissage est divisée en trois modules, conçus pour passer de la théorie à l'action, couvrant :</w:t>
                  </w:r>
                </w:p>
                <w:p w:rsidR="00000000" w:rsidDel="00000000" w:rsidP="00000000" w:rsidRDefault="00000000" w:rsidRPr="00000000" w14:paraId="00000017">
                  <w:pPr>
                    <w:numPr>
                      <w:ilvl w:val="0"/>
                      <w:numId w:val="1"/>
                    </w:numPr>
                    <w:spacing w:after="0" w:afterAutospacing="0" w:before="220" w:line="288" w:lineRule="auto"/>
                    <w:ind w:left="720" w:hanging="360"/>
                    <w:rPr>
                      <w:sz w:val="24"/>
                      <w:szCs w:val="24"/>
                    </w:rPr>
                  </w:pPr>
                  <w:r w:rsidDel="00000000" w:rsidR="00000000" w:rsidRPr="00000000">
                    <w:rPr>
                      <w:rFonts w:ascii="Georgia" w:cs="Georgia" w:eastAsia="Georgia" w:hAnsi="Georgia"/>
                      <w:color w:val="212121"/>
                      <w:sz w:val="24"/>
                      <w:szCs w:val="24"/>
                      <w:rtl w:val="0"/>
                    </w:rPr>
                    <w:t xml:space="preserve">MODULE 1 - Le paysage diversifié de la santé et de la nutrition scolaires</w:t>
                  </w:r>
                </w:p>
                <w:p w:rsidR="00000000" w:rsidDel="00000000" w:rsidP="00000000" w:rsidRDefault="00000000" w:rsidRPr="00000000" w14:paraId="00000018">
                  <w:pPr>
                    <w:numPr>
                      <w:ilvl w:val="0"/>
                      <w:numId w:val="1"/>
                    </w:numPr>
                    <w:spacing w:after="0" w:afterAutospacing="0" w:before="0" w:beforeAutospacing="0" w:line="288" w:lineRule="auto"/>
                    <w:ind w:left="720" w:hanging="360"/>
                    <w:rPr>
                      <w:sz w:val="24"/>
                      <w:szCs w:val="24"/>
                    </w:rPr>
                  </w:pPr>
                  <w:r w:rsidDel="00000000" w:rsidR="00000000" w:rsidRPr="00000000">
                    <w:rPr>
                      <w:rFonts w:ascii="Georgia" w:cs="Georgia" w:eastAsia="Georgia" w:hAnsi="Georgia"/>
                      <w:color w:val="212121"/>
                      <w:sz w:val="24"/>
                      <w:szCs w:val="24"/>
                      <w:rtl w:val="0"/>
                    </w:rPr>
                    <w:t xml:space="preserve">MODULE 2 - La coordination multisectorielle au cœur de la santé et de la nutrition scolaires</w:t>
                  </w:r>
                </w:p>
                <w:p w:rsidR="00000000" w:rsidDel="00000000" w:rsidP="00000000" w:rsidRDefault="00000000" w:rsidRPr="00000000" w14:paraId="00000019">
                  <w:pPr>
                    <w:numPr>
                      <w:ilvl w:val="0"/>
                      <w:numId w:val="1"/>
                    </w:numPr>
                    <w:spacing w:after="220" w:before="0" w:beforeAutospacing="0" w:line="288" w:lineRule="auto"/>
                    <w:ind w:left="720" w:hanging="360"/>
                    <w:rPr>
                      <w:sz w:val="24"/>
                      <w:szCs w:val="24"/>
                    </w:rPr>
                  </w:pPr>
                  <w:r w:rsidDel="00000000" w:rsidR="00000000" w:rsidRPr="00000000">
                    <w:rPr>
                      <w:rFonts w:ascii="Georgia" w:cs="Georgia" w:eastAsia="Georgia" w:hAnsi="Georgia"/>
                      <w:color w:val="212121"/>
                      <w:sz w:val="24"/>
                      <w:szCs w:val="24"/>
                      <w:rtl w:val="0"/>
                    </w:rPr>
                    <w:t xml:space="preserve">MODULE 3 - Outils pour guider la conception de programmes de santé et de nutrition scolaires</w:t>
                  </w:r>
                </w:p>
                <w:p w:rsidR="00000000" w:rsidDel="00000000" w:rsidP="00000000" w:rsidRDefault="00000000" w:rsidRPr="00000000" w14:paraId="0000001A">
                  <w:pPr>
                    <w:spacing w:line="288" w:lineRule="auto"/>
                    <w:rPr>
                      <w:rFonts w:ascii="Georgia" w:cs="Georgia" w:eastAsia="Georgia" w:hAnsi="Georgia"/>
                      <w:color w:val="212121"/>
                      <w:sz w:val="24"/>
                      <w:szCs w:val="24"/>
                    </w:rPr>
                  </w:pPr>
                  <w:r w:rsidDel="00000000" w:rsidR="00000000" w:rsidRPr="00000000">
                    <w:rPr>
                      <w:rFonts w:ascii="Georgia" w:cs="Georgia" w:eastAsia="Georgia" w:hAnsi="Georgia"/>
                      <w:color w:val="212121"/>
                      <w:sz w:val="24"/>
                      <w:szCs w:val="24"/>
                      <w:rtl w:val="0"/>
                    </w:rPr>
                    <w:t xml:space="preserve">Suivez le cours aujourd'hui et commémorez votre parcours d'apprentissage avec un certificat d'achèvement ! Le Groupe de travail est heureux de confirmer que ce cours d'apprentissage en ligne sera également disponible en français dans les prochaines semaines. Pour suivre ce cours et explorer les infographies supplémentaires, les vidéos animées et les rapports opérationnels sur ce sujet, visitez </w:t>
                  </w:r>
                  <w:hyperlink r:id="rId8">
                    <w:r w:rsidDel="00000000" w:rsidR="00000000" w:rsidRPr="00000000">
                      <w:rPr>
                        <w:rFonts w:ascii="Georgia" w:cs="Georgia" w:eastAsia="Georgia" w:hAnsi="Georgia"/>
                        <w:b w:val="1"/>
                        <w:color w:val="1155cc"/>
                        <w:sz w:val="24"/>
                        <w:szCs w:val="24"/>
                        <w:u w:val="single"/>
                        <w:rtl w:val="0"/>
                      </w:rPr>
                      <w:t xml:space="preserve">la boîte à outils de microapprentissages sur la santé et la nutrition scolaires</w:t>
                    </w:r>
                  </w:hyperlink>
                  <w:r w:rsidDel="00000000" w:rsidR="00000000" w:rsidRPr="00000000">
                    <w:rPr>
                      <w:rFonts w:ascii="Georgia" w:cs="Georgia" w:eastAsia="Georgia" w:hAnsi="Georgia"/>
                      <w:color w:val="212121"/>
                      <w:sz w:val="24"/>
                      <w:szCs w:val="24"/>
                      <w:rtl w:val="0"/>
                    </w:rPr>
                    <w:t xml:space="preserve"> du Groupe de travail.</w:t>
                  </w:r>
                </w:p>
              </w:tc>
            </w:tr>
          </w:tbl>
          <w:p w:rsidR="00000000" w:rsidDel="00000000" w:rsidP="00000000" w:rsidRDefault="00000000" w:rsidRPr="00000000" w14:paraId="0000001B">
            <w:pPr>
              <w:rPr>
                <w:color w:val="212121"/>
                <w:sz w:val="24"/>
                <w:szCs w:val="24"/>
              </w:rPr>
            </w:pPr>
            <w:r w:rsidDel="00000000" w:rsidR="00000000" w:rsidRPr="00000000">
              <w:rPr>
                <w:rtl w:val="0"/>
              </w:rPr>
            </w:r>
          </w:p>
        </w:tc>
      </w:tr>
    </w:tbl>
    <w:p w:rsidR="00000000" w:rsidDel="00000000" w:rsidP="00000000" w:rsidRDefault="00000000" w:rsidRPr="00000000" w14:paraId="0000001C">
      <w:pPr>
        <w:rPr>
          <w:color w:val="212121"/>
          <w:sz w:val="24"/>
          <w:szCs w:val="24"/>
        </w:rPr>
      </w:pPr>
      <w:r w:rsidDel="00000000" w:rsidR="00000000" w:rsidRPr="00000000">
        <w:rPr>
          <w:color w:val="212121"/>
          <w:sz w:val="24"/>
          <w:szCs w:val="24"/>
        </w:rPr>
        <w:drawing>
          <wp:inline distB="114300" distT="114300" distL="114300" distR="114300">
            <wp:extent cx="5681663" cy="23795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81663" cy="2379500"/>
                    </a:xfrm>
                    <a:prstGeom prst="rect"/>
                    <a:ln/>
                  </pic:spPr>
                </pic:pic>
              </a:graphicData>
            </a:graphic>
          </wp:inline>
        </w:drawing>
      </w:r>
      <w:r w:rsidDel="00000000" w:rsidR="00000000" w:rsidRPr="00000000">
        <w:rPr>
          <w:rtl w:val="0"/>
        </w:rPr>
      </w:r>
    </w:p>
    <w:tbl>
      <w:tblPr>
        <w:tblStyle w:val="Table6"/>
        <w:tblW w:w="9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35"/>
        <w:tblGridChange w:id="0">
          <w:tblGrid>
            <w:gridCol w:w="9335"/>
          </w:tblGrid>
        </w:tblGridChange>
      </w:tblGrid>
      <w:tr>
        <w:trPr>
          <w:cantSplit w:val="0"/>
          <w:trHeight w:val="2580.667968749999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spacing w:line="288" w:lineRule="auto"/>
              <w:jc w:val="center"/>
              <w:rPr>
                <w:rFonts w:ascii="Georgia" w:cs="Georgia" w:eastAsia="Georgia" w:hAnsi="Georgia"/>
                <w:color w:val="212121"/>
                <w:sz w:val="21"/>
                <w:szCs w:val="21"/>
              </w:rPr>
            </w:pPr>
            <w:r w:rsidDel="00000000" w:rsidR="00000000" w:rsidRPr="00000000">
              <w:rPr>
                <w:rFonts w:ascii="Georgia" w:cs="Georgia" w:eastAsia="Georgia" w:hAnsi="Georgia"/>
                <w:color w:val="212121"/>
                <w:sz w:val="21"/>
                <w:szCs w:val="21"/>
                <w:rtl w:val="0"/>
              </w:rPr>
              <w:t xml:space="preserve">Child Health Task Force | </w:t>
            </w:r>
            <w:hyperlink r:id="rId10">
              <w:r w:rsidDel="00000000" w:rsidR="00000000" w:rsidRPr="00000000">
                <w:rPr>
                  <w:rFonts w:ascii="Georgia" w:cs="Georgia" w:eastAsia="Georgia" w:hAnsi="Georgia"/>
                  <w:color w:val="685bc7"/>
                  <w:sz w:val="21"/>
                  <w:szCs w:val="21"/>
                  <w:rtl w:val="0"/>
                </w:rPr>
                <w:t xml:space="preserve">www.childhealthtaskforce.org</w:t>
              </w:r>
            </w:hyperlink>
            <w:r w:rsidDel="00000000" w:rsidR="00000000" w:rsidRPr="00000000">
              <w:rPr>
                <w:rFonts w:ascii="Georgia" w:cs="Georgia" w:eastAsia="Georgia" w:hAnsi="Georgia"/>
                <w:color w:val="212121"/>
                <w:sz w:val="21"/>
                <w:szCs w:val="21"/>
                <w:rtl w:val="0"/>
              </w:rPr>
              <w:t xml:space="preserve"> |</w:t>
            </w:r>
          </w:p>
          <w:p w:rsidR="00000000" w:rsidDel="00000000" w:rsidP="00000000" w:rsidRDefault="00000000" w:rsidRPr="00000000" w14:paraId="0000001E">
            <w:pPr>
              <w:spacing w:line="288" w:lineRule="auto"/>
              <w:jc w:val="center"/>
              <w:rPr>
                <w:color w:val="212121"/>
                <w:sz w:val="24"/>
                <w:szCs w:val="24"/>
              </w:rPr>
            </w:pPr>
            <w:r w:rsidDel="00000000" w:rsidR="00000000" w:rsidRPr="00000000">
              <w:rPr>
                <w:rFonts w:ascii="Georgia" w:cs="Georgia" w:eastAsia="Georgia" w:hAnsi="Georgia"/>
                <w:color w:val="27b0e6"/>
                <w:sz w:val="21"/>
                <w:szCs w:val="21"/>
                <w:rtl w:val="0"/>
              </w:rPr>
              <w:t xml:space="preserve">Follow Us On Twitter: @ChildHealthTF</w:t>
            </w:r>
            <w:r w:rsidDel="00000000" w:rsidR="00000000" w:rsidRPr="00000000">
              <w:rPr>
                <w:rtl w:val="0"/>
              </w:rPr>
            </w:r>
          </w:p>
          <w:tbl>
            <w:tblPr>
              <w:tblStyle w:val="Table7"/>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35"/>
              <w:tblGridChange w:id="0">
                <w:tblGrid>
                  <w:gridCol w:w="9135"/>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160.0" w:type="dxa"/>
                    <w:left w:w="300.0" w:type="dxa"/>
                    <w:bottom w:w="160.0" w:type="dxa"/>
                    <w:right w:w="300.0" w:type="dxa"/>
                  </w:tcMar>
                  <w:vAlign w:val="top"/>
                </w:tcPr>
                <w:p w:rsidR="00000000" w:rsidDel="00000000" w:rsidP="00000000" w:rsidRDefault="00000000" w:rsidRPr="00000000" w14:paraId="0000001F">
                  <w:pPr>
                    <w:rPr>
                      <w:color w:val="212121"/>
                      <w:sz w:val="24"/>
                      <w:szCs w:val="24"/>
                    </w:rPr>
                  </w:pPr>
                  <w:r w:rsidDel="00000000" w:rsidR="00000000" w:rsidRPr="00000000">
                    <w:rPr>
                      <w:rtl w:val="0"/>
                    </w:rPr>
                  </w:r>
                </w:p>
                <w:tbl>
                  <w:tblPr>
                    <w:tblStyle w:val="Table8"/>
                    <w:tblW w:w="84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0"/>
                    <w:tblGridChange w:id="0">
                      <w:tblGrid>
                        <w:gridCol w:w="8400"/>
                      </w:tblGrid>
                    </w:tblGridChange>
                  </w:tblGrid>
                  <w:tr>
                    <w:trPr>
                      <w:cantSplit w:val="0"/>
                      <w:trHeight w:val="15" w:hRule="atLeast"/>
                      <w:tblHeader w:val="0"/>
                    </w:trPr>
                    <w:tc>
                      <w:tcPr>
                        <w:tcBorders>
                          <w:top w:color="000000" w:space="0" w:sz="0" w:val="nil"/>
                          <w:left w:color="000000" w:space="0" w:sz="0" w:val="nil"/>
                          <w:bottom w:color="000000" w:space="0" w:sz="0" w:val="nil"/>
                          <w:right w:color="000000" w:space="0" w:sz="0" w:val="nil"/>
                        </w:tcBorders>
                        <w:shd w:fill="ca63ad" w:val="clear"/>
                        <w:tcMar>
                          <w:top w:w="100.0" w:type="dxa"/>
                          <w:left w:w="100.0" w:type="dxa"/>
                          <w:bottom w:w="0.0" w:type="dxa"/>
                          <w:right w:w="100.0" w:type="dxa"/>
                        </w:tcMar>
                        <w:vAlign w:val="top"/>
                      </w:tcPr>
                      <w:p w:rsidR="00000000" w:rsidDel="00000000" w:rsidP="00000000" w:rsidRDefault="00000000" w:rsidRPr="00000000" w14:paraId="00000020">
                        <w:pPr>
                          <w:spacing w:line="15" w:lineRule="auto"/>
                          <w:rPr>
                            <w:color w:val="212121"/>
                            <w:sz w:val="24"/>
                            <w:szCs w:val="24"/>
                          </w:rPr>
                        </w:pPr>
                        <w:r w:rsidDel="00000000" w:rsidR="00000000" w:rsidRPr="00000000">
                          <w:rPr>
                            <w:rtl w:val="0"/>
                          </w:rPr>
                        </w:r>
                      </w:p>
                    </w:tc>
                  </w:tr>
                </w:tbl>
                <w:p w:rsidR="00000000" w:rsidDel="00000000" w:rsidP="00000000" w:rsidRDefault="00000000" w:rsidRPr="00000000" w14:paraId="00000021">
                  <w:pPr>
                    <w:rPr>
                      <w:color w:val="212121"/>
                      <w:sz w:val="24"/>
                      <w:szCs w:val="24"/>
                    </w:rPr>
                  </w:pPr>
                  <w:r w:rsidDel="00000000" w:rsidR="00000000" w:rsidRPr="00000000">
                    <w:rPr>
                      <w:rtl w:val="0"/>
                    </w:rPr>
                  </w:r>
                </w:p>
              </w:tc>
            </w:tr>
          </w:tbl>
          <w:p w:rsidR="00000000" w:rsidDel="00000000" w:rsidP="00000000" w:rsidRDefault="00000000" w:rsidRPr="00000000" w14:paraId="00000022">
            <w:pPr>
              <w:rPr>
                <w:color w:val="212121"/>
                <w:sz w:val="24"/>
                <w:szCs w:val="24"/>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21212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212121"/>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26"/>
      <w:szCs w:val="26"/>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Pr>
    <w:rPr>
      <w:i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b w:val="1"/>
      <w:sz w:val="56"/>
      <w:szCs w:val="5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nam02.safelinks.protection.outlook.com/?url=https%3A%2F%2F7ah8gjpab.cc.rs6.net%2Ftn.jsp%3Ff%3D001ahmBUy1j06Q_mjkiEFOqQxFAbTNzUwVpnld_pxB2HuUZM7cWjeWUCHTrECEqqvBND0NEYA0H-0hbhb35qAnfPNPJUw1iF0tL2IfxynY8_xsgY-Ist8CU3qatWPVN-rfNayuSGTI_EL2ustu-yrxXhBP3fl3EjcTx09PV57bTlIU%3D%26c%3DjV8_ua-6CVi973fgeL2UBRrjhCc_e9JfjIUaqt_0zTdLyqLcWz15TQ%3D%3D%26ch%3D9Pqe8BM_bc3NCa_kfeNQSzbZg8CCEFqGamrjMDWYYDAWh9fzFO2qnw%3D%3D&amp;data=05%7C02%7Cashley.riley%40jhu.edu%7C1c329b2366f9426562b308dc69468be4%7C9fa4f438b1e6473b803f86f8aedf0dec%7C0%7C0%7C638500998931246938%7CUnknown%7CTWFpbGZsb3d8eyJWIjoiMC4wLjAwMDAiLCJQIjoiV2luMzIiLCJBTiI6Ik1haWwiLCJXVCI6Mn0%3D%7C0%7C%7C%7C&amp;sdata=y21FiUSY5u%2BABVnKzpD%2FyoWyktAIe7z0Yxdxs6vSa44%3D&amp;reserved=0"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childhealthtaskforce.org/hubs/school-health-and-nutrition/microlearnings-toolkit" TargetMode="External"/><Relationship Id="rId7" Type="http://schemas.openxmlformats.org/officeDocument/2006/relationships/image" Target="media/image2.png"/><Relationship Id="rId8" Type="http://schemas.openxmlformats.org/officeDocument/2006/relationships/hyperlink" Target="https://www.childhealthtaskforce.org/fr/hubs/sante-et-nutrition-scolaire/bo%C3%AEte-%C3%A0-outils-de-micro-apprentiss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